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9594" w14:textId="77777777" w:rsidR="00234919" w:rsidRPr="001E0F1F" w:rsidRDefault="00234919" w:rsidP="002349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F1F">
        <w:rPr>
          <w:rFonts w:ascii="Times New Roman" w:hAnsi="Times New Roman" w:cs="Times New Roman"/>
          <w:b/>
          <w:bCs/>
          <w:sz w:val="24"/>
          <w:szCs w:val="24"/>
        </w:rPr>
        <w:t>Frekans Tanım Bölgesinde, Faz Gerilemeli, Faz İlerlemeli kompanzatör ve PID kontrolcü Tasarımı için</w:t>
      </w:r>
    </w:p>
    <w:p w14:paraId="62171E0A" w14:textId="77777777" w:rsidR="00234919" w:rsidRPr="001E0F1F" w:rsidRDefault="00234919" w:rsidP="002349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F1F">
        <w:rPr>
          <w:rFonts w:ascii="Times New Roman" w:hAnsi="Times New Roman" w:cs="Times New Roman"/>
          <w:b/>
          <w:bCs/>
          <w:sz w:val="24"/>
          <w:szCs w:val="24"/>
        </w:rPr>
        <w:t>Yönerge</w:t>
      </w:r>
    </w:p>
    <w:p w14:paraId="2BE84638" w14:textId="24C17B9A" w:rsidR="00234919" w:rsidRPr="000E4ED7" w:rsidRDefault="00234919" w:rsidP="00234919">
      <w:pPr>
        <w:rPr>
          <w:rFonts w:ascii="Times New Roman" w:hAnsi="Times New Roman" w:cs="Times New Roman"/>
          <w:bCs/>
          <w:sz w:val="16"/>
          <w:szCs w:val="16"/>
        </w:rPr>
      </w:pPr>
      <w:r w:rsidRPr="000E4ED7">
        <w:rPr>
          <w:rFonts w:ascii="Times New Roman" w:hAnsi="Times New Roman" w:cs="Times New Roman"/>
          <w:bCs/>
          <w:sz w:val="16"/>
          <w:szCs w:val="16"/>
        </w:rPr>
        <w:t>Not: Odtü’de okutulan “ME442-Design of Control Systems” dersinde kullanılan yönergenin Türkçeye Çevirisidir</w:t>
      </w:r>
      <w:r w:rsidR="001E0F1F">
        <w:rPr>
          <w:rFonts w:ascii="Times New Roman" w:hAnsi="Times New Roman" w:cs="Times New Roman"/>
          <w:bCs/>
          <w:sz w:val="16"/>
          <w:szCs w:val="16"/>
        </w:rPr>
        <w:t>*</w:t>
      </w:r>
      <w:r w:rsidRPr="000E4ED7">
        <w:rPr>
          <w:rFonts w:ascii="Times New Roman" w:hAnsi="Times New Roman" w:cs="Times New Roman"/>
          <w:bCs/>
          <w:sz w:val="16"/>
          <w:szCs w:val="16"/>
        </w:rPr>
        <w:t>.</w:t>
      </w:r>
    </w:p>
    <w:p w14:paraId="3513F0FD" w14:textId="77777777" w:rsidR="00967918" w:rsidRPr="000E4ED7" w:rsidRDefault="00EB610A" w:rsidP="001E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 xml:space="preserve">Verilen kompanze edilmemiş </w:t>
      </w:r>
      <w:r w:rsidR="00967918" w:rsidRPr="000E4ED7">
        <w:rPr>
          <w:rFonts w:ascii="Times New Roman" w:hAnsi="Times New Roman" w:cs="Times New Roman"/>
          <w:sz w:val="24"/>
          <w:szCs w:val="24"/>
        </w:rPr>
        <w:t xml:space="preserve">kazana sahip </w:t>
      </w:r>
      <w:r w:rsidRPr="000E4ED7">
        <w:rPr>
          <w:rFonts w:ascii="Times New Roman" w:hAnsi="Times New Roman" w:cs="Times New Roman"/>
          <w:sz w:val="24"/>
          <w:szCs w:val="24"/>
        </w:rPr>
        <w:t>açık çevrim transfer fonksiyonu</w:t>
      </w:r>
      <w:r w:rsidR="00967918" w:rsidRPr="000E4ED7">
        <w:rPr>
          <w:rFonts w:ascii="Times New Roman" w:hAnsi="Times New Roman" w:cs="Times New Roman"/>
          <w:sz w:val="24"/>
          <w:szCs w:val="24"/>
        </w:rPr>
        <w:t>nun (G(s)H(s) ) ekseni kesen frekansı</w:t>
      </w:r>
      <w:r w:rsidRPr="000E4ED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ωg,u</m:t>
        </m:r>
      </m:oMath>
      <w:r w:rsidR="00967918" w:rsidRPr="000E4ED7">
        <w:rPr>
          <w:rFonts w:ascii="Times New Roman" w:hAnsi="Times New Roman" w:cs="Times New Roman"/>
          <w:sz w:val="24"/>
          <w:szCs w:val="24"/>
        </w:rPr>
        <w:t xml:space="preserve"> olan sistem için verilen isterlere bağlı aşağıdaki</w:t>
      </w:r>
      <w:r w:rsidRPr="000E4ED7">
        <w:rPr>
          <w:rFonts w:ascii="Times New Roman" w:hAnsi="Times New Roman" w:cs="Times New Roman"/>
          <w:sz w:val="24"/>
          <w:szCs w:val="24"/>
        </w:rPr>
        <w:t xml:space="preserve"> </w:t>
      </w:r>
      <w:r w:rsidR="00967918" w:rsidRPr="000E4ED7">
        <w:rPr>
          <w:rFonts w:ascii="Times New Roman" w:hAnsi="Times New Roman" w:cs="Times New Roman"/>
          <w:sz w:val="24"/>
          <w:szCs w:val="24"/>
        </w:rPr>
        <w:t>tasarımlar yapılmak istenirse;</w:t>
      </w:r>
    </w:p>
    <w:p w14:paraId="579E46E3" w14:textId="70B5EC81" w:rsidR="00967918" w:rsidRDefault="00967918" w:rsidP="009679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>Faz Gerilemeli Kompanzatör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0E4ED7" w14:paraId="0E757D42" w14:textId="77777777" w:rsidTr="00F239FB">
        <w:tc>
          <w:tcPr>
            <w:tcW w:w="7644" w:type="dxa"/>
            <w:vAlign w:val="center"/>
          </w:tcPr>
          <w:p w14:paraId="49F606B4" w14:textId="042D27E9" w:rsidR="000E4ED7" w:rsidRPr="00F239FB" w:rsidRDefault="000E4ED7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1+Ts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1+αTs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α&gt;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08" w:type="dxa"/>
            <w:vAlign w:val="center"/>
          </w:tcPr>
          <w:p w14:paraId="7E6BF3D0" w14:textId="201C9241" w:rsidR="000E4ED7" w:rsidRDefault="000E4ED7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14:paraId="21FADA79" w14:textId="37C034B1" w:rsidR="00967918" w:rsidRDefault="00F239FB" w:rsidP="009679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67918" w:rsidRPr="000E4ED7">
        <w:rPr>
          <w:rFonts w:ascii="Times New Roman" w:hAnsi="Times New Roman" w:cs="Times New Roman"/>
          <w:sz w:val="24"/>
          <w:szCs w:val="24"/>
        </w:rPr>
        <w:t>az İlerlemeli Kompanzatör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F239FB" w14:paraId="7901A90E" w14:textId="77777777" w:rsidTr="00E15471">
        <w:tc>
          <w:tcPr>
            <w:tcW w:w="7644" w:type="dxa"/>
            <w:vAlign w:val="center"/>
          </w:tcPr>
          <w:p w14:paraId="05D9F3D8" w14:textId="5144183D" w:rsidR="00F239FB" w:rsidRPr="00F239FB" w:rsidRDefault="00F239FB" w:rsidP="00E15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1+Ts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1+αTs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α&lt;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08" w:type="dxa"/>
            <w:vAlign w:val="center"/>
          </w:tcPr>
          <w:p w14:paraId="156C5B92" w14:textId="18FECBA7" w:rsidR="00F239FB" w:rsidRDefault="00F239FB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2CA4D7D" w14:textId="1F1DD1AD" w:rsidR="00967918" w:rsidRDefault="00967918" w:rsidP="00F239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>PID Kontrol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F239FB" w14:paraId="538D6B55" w14:textId="77777777" w:rsidTr="00F239FB">
        <w:tc>
          <w:tcPr>
            <w:tcW w:w="7644" w:type="dxa"/>
            <w:vAlign w:val="center"/>
          </w:tcPr>
          <w:p w14:paraId="36642C43" w14:textId="5236EA1C" w:rsidR="00F239FB" w:rsidRPr="00F239FB" w:rsidRDefault="00F239FB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oMath>
            </m:oMathPara>
          </w:p>
        </w:tc>
        <w:tc>
          <w:tcPr>
            <w:tcW w:w="708" w:type="dxa"/>
            <w:vAlign w:val="center"/>
          </w:tcPr>
          <w:p w14:paraId="3C02D40B" w14:textId="453AB07D" w:rsidR="00F239FB" w:rsidRDefault="00F239FB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EEC1743" w14:textId="47E90C71" w:rsidR="004070C5" w:rsidRPr="000E4ED7" w:rsidRDefault="004070C5" w:rsidP="0040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>Öncelikle hangi tip kompanzatörün kapalı çevrim sisteminden istenen isterleri yerine getirmek için uygun olduğuna</w:t>
      </w:r>
    </w:p>
    <w:p w14:paraId="1095342D" w14:textId="55902454" w:rsidR="004070C5" w:rsidRPr="000E4ED7" w:rsidRDefault="004070C5" w:rsidP="0040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 xml:space="preserve">i) Hedeflenen faz marjı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ϕ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Pr="000E4ED7">
        <w:rPr>
          <w:rFonts w:ascii="Times New Roman" w:hAnsi="Times New Roman" w:cs="Times New Roman"/>
          <w:sz w:val="24"/>
          <w:szCs w:val="24"/>
        </w:rPr>
        <w:t>,</w:t>
      </w:r>
    </w:p>
    <w:p w14:paraId="46FF4F3B" w14:textId="06B23E7F" w:rsidR="004070C5" w:rsidRPr="000E4ED7" w:rsidRDefault="004070C5" w:rsidP="0040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 xml:space="preserve">ii) Hedeflenen geçiş frekansı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g,c</m:t>
            </m:r>
          </m:sub>
        </m:sSub>
      </m:oMath>
      <w:r w:rsidRPr="000E4ED7">
        <w:rPr>
          <w:rFonts w:ascii="Times New Roman" w:hAnsi="Times New Roman" w:cs="Times New Roman"/>
          <w:sz w:val="24"/>
          <w:szCs w:val="24"/>
        </w:rPr>
        <w:t>,</w:t>
      </w:r>
    </w:p>
    <w:p w14:paraId="53D0DC25" w14:textId="33D80981" w:rsidR="004070C5" w:rsidRPr="000E4ED7" w:rsidRDefault="004070C5" w:rsidP="0040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 xml:space="preserve">değerlerine göre karar verilir. Daha sonra eğer kompanzatör </w:t>
      </w:r>
      <w:r w:rsidR="00F239FB">
        <w:rPr>
          <w:rFonts w:ascii="Times New Roman" w:hAnsi="Times New Roman" w:cs="Times New Roman"/>
          <w:sz w:val="24"/>
          <w:szCs w:val="24"/>
        </w:rPr>
        <w:t>ile</w:t>
      </w:r>
      <w:r w:rsidRPr="000E4ED7">
        <w:rPr>
          <w:rFonts w:ascii="Times New Roman" w:hAnsi="Times New Roman" w:cs="Times New Roman"/>
          <w:sz w:val="24"/>
          <w:szCs w:val="24"/>
        </w:rPr>
        <w:t xml:space="preserve"> isterlerin karşılanabileceğine hükmedilirse, istenen kompanzatör tipine göre aşağıdaki yönergeler izlenir.</w:t>
      </w:r>
    </w:p>
    <w:p w14:paraId="25BC0744" w14:textId="436A9D8B" w:rsidR="00D5097F" w:rsidRDefault="00D5097F" w:rsidP="0040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 xml:space="preserve">Arzu edilen kazanç geçiş frekansı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g,c</m:t>
            </m:r>
          </m:sub>
        </m:sSub>
      </m:oMath>
      <w:r w:rsidR="00D17619" w:rsidRPr="000E4ED7">
        <w:rPr>
          <w:rFonts w:ascii="Times New Roman" w:hAnsi="Times New Roman" w:cs="Times New Roman"/>
          <w:sz w:val="24"/>
          <w:szCs w:val="24"/>
        </w:rPr>
        <w:t>’de, tasarlanacak</w:t>
      </w:r>
      <w:r w:rsidRPr="000E4E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(s)</m:t>
        </m:r>
      </m:oMath>
      <w:r w:rsidRPr="000E4ED7">
        <w:rPr>
          <w:rFonts w:ascii="Times New Roman" w:hAnsi="Times New Roman" w:cs="Times New Roman"/>
          <w:sz w:val="24"/>
          <w:szCs w:val="24"/>
        </w:rPr>
        <w:t xml:space="preserve"> kontrol</w:t>
      </w:r>
      <w:r w:rsidR="00D17619" w:rsidRPr="000E4ED7">
        <w:rPr>
          <w:rFonts w:ascii="Times New Roman" w:hAnsi="Times New Roman" w:cs="Times New Roman"/>
          <w:sz w:val="24"/>
          <w:szCs w:val="24"/>
        </w:rPr>
        <w:t>cüsünün</w:t>
      </w:r>
      <w:r w:rsidRPr="000E4ED7">
        <w:rPr>
          <w:rFonts w:ascii="Times New Roman" w:hAnsi="Times New Roman" w:cs="Times New Roman"/>
          <w:sz w:val="24"/>
          <w:szCs w:val="24"/>
        </w:rPr>
        <w:t xml:space="preserve"> açısını tanımla</w:t>
      </w:r>
      <w:r w:rsidR="00D17619" w:rsidRPr="000E4ED7">
        <w:rPr>
          <w:rFonts w:ascii="Times New Roman" w:hAnsi="Times New Roman" w:cs="Times New Roman"/>
          <w:sz w:val="24"/>
          <w:szCs w:val="24"/>
        </w:rPr>
        <w:t>yın: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F239FB" w14:paraId="70C5DB60" w14:textId="77777777" w:rsidTr="00E15471">
        <w:tc>
          <w:tcPr>
            <w:tcW w:w="7644" w:type="dxa"/>
            <w:vAlign w:val="center"/>
          </w:tcPr>
          <w:p w14:paraId="79402F29" w14:textId="19883E24" w:rsidR="00F239FB" w:rsidRPr="00F239FB" w:rsidRDefault="00F239FB" w:rsidP="00E15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θ=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arg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g,c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ϕ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arg⁡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[G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g,c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g,c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708" w:type="dxa"/>
            <w:vAlign w:val="center"/>
          </w:tcPr>
          <w:p w14:paraId="2E5E3FE4" w14:textId="038AC4B2" w:rsidR="00F239FB" w:rsidRDefault="00F239FB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A4D0C57" w14:textId="535C9B06" w:rsidR="00D17619" w:rsidRPr="000E4ED7" w:rsidRDefault="00D17619" w:rsidP="004070C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4ED7">
        <w:rPr>
          <w:rFonts w:ascii="Times New Roman" w:eastAsiaTheme="minorEastAsia" w:hAnsi="Times New Roman" w:cs="Times New Roman"/>
          <w:sz w:val="24"/>
          <w:szCs w:val="24"/>
        </w:rPr>
        <w:t>Sonra aşağıdaki eşitlikleri kullanarak tasarıma devam et;</w:t>
      </w:r>
    </w:p>
    <w:p w14:paraId="22B41338" w14:textId="03738DE6" w:rsidR="00D17619" w:rsidRDefault="00D17619" w:rsidP="004070C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F239FB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Gerilemeli ya da İlerlemeli Kompanzatör için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F239FB" w:rsidRPr="00F239FB" w14:paraId="4CBAE6D4" w14:textId="77777777" w:rsidTr="00F239FB">
        <w:tc>
          <w:tcPr>
            <w:tcW w:w="7644" w:type="dxa"/>
            <w:vAlign w:val="center"/>
          </w:tcPr>
          <w:p w14:paraId="38BFD848" w14:textId="653EC41B" w:rsidR="00F239FB" w:rsidRPr="00F239FB" w:rsidRDefault="00F239FB" w:rsidP="00F2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cos⁡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g,c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den>
                </m:f>
              </m:oMath>
            </m:oMathPara>
          </w:p>
        </w:tc>
        <w:tc>
          <w:tcPr>
            <w:tcW w:w="708" w:type="dxa"/>
            <w:vAlign w:val="center"/>
          </w:tcPr>
          <w:p w14:paraId="32D91301" w14:textId="64FBA693" w:rsidR="00F239FB" w:rsidRPr="00F239FB" w:rsidRDefault="00F239FB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  <w:r w:rsidRPr="00F23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39FB" w14:paraId="359EC569" w14:textId="77777777" w:rsidTr="00F239FB">
        <w:tc>
          <w:tcPr>
            <w:tcW w:w="7644" w:type="dxa"/>
          </w:tcPr>
          <w:p w14:paraId="34E34B89" w14:textId="33F6330D" w:rsidR="00F239FB" w:rsidRPr="00F239FB" w:rsidRDefault="00F239FB" w:rsidP="00F2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αT=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cos⁡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</m:e>
                    </m:d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g,c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sin⁡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14:paraId="0ED5A81B" w14:textId="7E537F76" w:rsidR="00F239FB" w:rsidRDefault="00F239FB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832EF29" w14:textId="5FE41232" w:rsidR="00D17619" w:rsidRDefault="00D17619" w:rsidP="0040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>PID kontrolcü için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F239FB" w:rsidRPr="00F239FB" w14:paraId="09B61B28" w14:textId="77777777" w:rsidTr="00E15471">
        <w:tc>
          <w:tcPr>
            <w:tcW w:w="7644" w:type="dxa"/>
            <w:vAlign w:val="center"/>
          </w:tcPr>
          <w:p w14:paraId="31DF111E" w14:textId="142B894B" w:rsidR="00F239FB" w:rsidRPr="00F239FB" w:rsidRDefault="00F239FB" w:rsidP="00F2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</m:e>
                    </m:d>
                  </m:den>
                </m:f>
              </m:oMath>
            </m:oMathPara>
          </w:p>
        </w:tc>
        <w:tc>
          <w:tcPr>
            <w:tcW w:w="708" w:type="dxa"/>
            <w:vAlign w:val="center"/>
          </w:tcPr>
          <w:p w14:paraId="55A0825D" w14:textId="274634F8" w:rsidR="00F239FB" w:rsidRPr="00F239FB" w:rsidRDefault="00F239FB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3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39FB" w14:paraId="2EAACE57" w14:textId="77777777" w:rsidTr="00E15471">
        <w:tc>
          <w:tcPr>
            <w:tcW w:w="7644" w:type="dxa"/>
          </w:tcPr>
          <w:p w14:paraId="6D28672A" w14:textId="67E5A094" w:rsidR="00F239FB" w:rsidRPr="00F239FB" w:rsidRDefault="00F239FB" w:rsidP="00F23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g,c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g,c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</m:e>
                    </m:d>
                  </m:den>
                </m:f>
              </m:oMath>
            </m:oMathPara>
          </w:p>
        </w:tc>
        <w:tc>
          <w:tcPr>
            <w:tcW w:w="708" w:type="dxa"/>
          </w:tcPr>
          <w:p w14:paraId="420AAD65" w14:textId="5DCF5ED3" w:rsidR="00F239FB" w:rsidRDefault="00F239FB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</w:tbl>
    <w:p w14:paraId="5E6748D4" w14:textId="73C4651D" w:rsidR="004F55B5" w:rsidRPr="000E4ED7" w:rsidRDefault="004F55B5" w:rsidP="00D17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ED7">
        <w:rPr>
          <w:rFonts w:ascii="Times New Roman" w:hAnsi="Times New Roman" w:cs="Times New Roman"/>
          <w:i/>
          <w:sz w:val="24"/>
          <w:szCs w:val="24"/>
        </w:rPr>
        <w:t>Gerilemeli Kompanzatör Durumunda</w:t>
      </w:r>
    </w:p>
    <w:p w14:paraId="5A94693C" w14:textId="77777777" w:rsidR="004F55B5" w:rsidRPr="000E4ED7" w:rsidRDefault="004F55B5" w:rsidP="000E4E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>Kc kazancı, durgun durum gereksinimini karşılayacak şekilde belirlenmelidir.</w:t>
      </w:r>
    </w:p>
    <w:p w14:paraId="38B74328" w14:textId="3EF63316" w:rsidR="004F55B5" w:rsidRDefault="004F55B5" w:rsidP="000E4E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 xml:space="preserve">İstenilen kazanç geçiş frekansı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g,c</m:t>
            </m:r>
          </m:sub>
        </m:sSub>
      </m:oMath>
      <w:r w:rsidRPr="000E4ED7">
        <w:rPr>
          <w:rFonts w:ascii="Times New Roman" w:hAnsi="Times New Roman" w:cs="Times New Roman"/>
          <w:sz w:val="24"/>
          <w:szCs w:val="24"/>
        </w:rPr>
        <w:t xml:space="preserve"> aşağıdaki şartları sağlayacak şekilde seçilmelidir.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F239FB" w:rsidRPr="00F239FB" w14:paraId="4AD878FB" w14:textId="77777777" w:rsidTr="00E15471">
        <w:tc>
          <w:tcPr>
            <w:tcW w:w="7644" w:type="dxa"/>
            <w:vAlign w:val="center"/>
          </w:tcPr>
          <w:p w14:paraId="59F9A911" w14:textId="5F93F45D" w:rsidR="00F239FB" w:rsidRPr="00F239FB" w:rsidRDefault="00F239FB" w:rsidP="00E1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θ &lt;0</m:t>
              </m:r>
            </m:oMath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arg⁡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g,c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g,c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oMath>
          </w:p>
        </w:tc>
        <w:tc>
          <w:tcPr>
            <w:tcW w:w="708" w:type="dxa"/>
            <w:vAlign w:val="center"/>
          </w:tcPr>
          <w:p w14:paraId="59D7E77C" w14:textId="5EBAC47B" w:rsidR="00F239FB" w:rsidRPr="00F239FB" w:rsidRDefault="00F239FB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3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39FB" w14:paraId="656F592E" w14:textId="77777777" w:rsidTr="00E15471">
        <w:tc>
          <w:tcPr>
            <w:tcW w:w="7644" w:type="dxa"/>
          </w:tcPr>
          <w:p w14:paraId="6DA61577" w14:textId="7931069E" w:rsidR="00F239FB" w:rsidRPr="00F239FB" w:rsidRDefault="00F239FB" w:rsidP="00E1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g,c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&lt;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g,u</m:t>
                    </m:r>
                  </m:sub>
                </m:sSub>
              </m:oMath>
            </m:oMathPara>
          </w:p>
        </w:tc>
        <w:tc>
          <w:tcPr>
            <w:tcW w:w="708" w:type="dxa"/>
          </w:tcPr>
          <w:p w14:paraId="17925FBB" w14:textId="35417731" w:rsidR="00F239FB" w:rsidRDefault="00F239FB" w:rsidP="00F239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F239FB" w14:paraId="1307EC30" w14:textId="77777777" w:rsidTr="00E15471">
        <w:tc>
          <w:tcPr>
            <w:tcW w:w="7644" w:type="dxa"/>
          </w:tcPr>
          <w:p w14:paraId="1F384FBC" w14:textId="2D9621FF" w:rsidR="00F239FB" w:rsidRPr="00F239FB" w:rsidRDefault="00F239FB" w:rsidP="00E154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g,c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g,c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08" w:type="dxa"/>
          </w:tcPr>
          <w:p w14:paraId="4E57A2A8" w14:textId="28454254" w:rsidR="00F239FB" w:rsidRDefault="00F239FB" w:rsidP="00E15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(7c)</w:t>
            </w:r>
          </w:p>
        </w:tc>
      </w:tr>
      <w:tr w:rsidR="00F239FB" w14:paraId="6FAE5E53" w14:textId="77777777" w:rsidTr="00E15471">
        <w:tc>
          <w:tcPr>
            <w:tcW w:w="7644" w:type="dxa"/>
          </w:tcPr>
          <w:p w14:paraId="1AD32693" w14:textId="21E6DB7C" w:rsidR="00F239FB" w:rsidRPr="00F239FB" w:rsidRDefault="00F239FB" w:rsidP="00E154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g,c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g,c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  <w:tc>
          <w:tcPr>
            <w:tcW w:w="708" w:type="dxa"/>
          </w:tcPr>
          <w:p w14:paraId="317BA67A" w14:textId="44F62559" w:rsidR="00F239FB" w:rsidRDefault="00F239FB" w:rsidP="00E15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(7d)</w:t>
            </w:r>
          </w:p>
        </w:tc>
      </w:tr>
    </w:tbl>
    <w:p w14:paraId="7553E689" w14:textId="62F9C28E" w:rsidR="00D17619" w:rsidRPr="000E4ED7" w:rsidRDefault="004F55B5" w:rsidP="001E0F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 xml:space="preserve">(7a) ila (7d) arasındaki bu şartlar, </w:t>
      </w:r>
      <w:r w:rsidR="00D2076F" w:rsidRPr="000E4ED7">
        <w:rPr>
          <w:rFonts w:ascii="Times New Roman" w:hAnsi="Times New Roman" w:cs="Times New Roman"/>
          <w:sz w:val="24"/>
          <w:szCs w:val="24"/>
        </w:rPr>
        <w:t>kompanzatörün</w:t>
      </w:r>
      <w:r w:rsidRPr="000E4ED7">
        <w:rPr>
          <w:rFonts w:ascii="Times New Roman" w:hAnsi="Times New Roman" w:cs="Times New Roman"/>
          <w:sz w:val="24"/>
          <w:szCs w:val="24"/>
        </w:rPr>
        <w:t xml:space="preserve"> açısal katkısının negatif olmasını sağlamak içindir, </w:t>
      </w:r>
      <w:r w:rsidR="00D2076F" w:rsidRPr="000E4ED7">
        <w:rPr>
          <w:rFonts w:ascii="Times New Roman" w:hAnsi="Times New Roman" w:cs="Times New Roman"/>
          <w:sz w:val="24"/>
          <w:szCs w:val="24"/>
        </w:rPr>
        <w:t>kompanzatörün</w:t>
      </w:r>
      <w:r w:rsidRPr="000E4ED7">
        <w:rPr>
          <w:rFonts w:ascii="Times New Roman" w:hAnsi="Times New Roman" w:cs="Times New Roman"/>
          <w:sz w:val="24"/>
          <w:szCs w:val="24"/>
        </w:rPr>
        <w:t xml:space="preserve"> en yüksek açısal katkısı, </w:t>
      </w:r>
      <w:r w:rsidR="00D2076F" w:rsidRPr="000E4ED7">
        <w:rPr>
          <w:rFonts w:ascii="Times New Roman" w:hAnsi="Times New Roman" w:cs="Times New Roman"/>
          <w:sz w:val="24"/>
          <w:szCs w:val="24"/>
        </w:rPr>
        <w:t>kompanze edilmemiş</w:t>
      </w:r>
      <w:r w:rsidRPr="000E4ED7">
        <w:rPr>
          <w:rFonts w:ascii="Times New Roman" w:hAnsi="Times New Roman" w:cs="Times New Roman"/>
          <w:sz w:val="24"/>
          <w:szCs w:val="24"/>
        </w:rPr>
        <w:t xml:space="preserve"> sistemin kazanç </w:t>
      </w:r>
      <w:r w:rsidR="00D2076F" w:rsidRPr="000E4ED7">
        <w:rPr>
          <w:rFonts w:ascii="Times New Roman" w:hAnsi="Times New Roman" w:cs="Times New Roman"/>
          <w:sz w:val="24"/>
          <w:szCs w:val="24"/>
        </w:rPr>
        <w:t>geçiş</w:t>
      </w:r>
      <w:r w:rsidRPr="000E4ED7">
        <w:rPr>
          <w:rFonts w:ascii="Times New Roman" w:hAnsi="Times New Roman" w:cs="Times New Roman"/>
          <w:sz w:val="24"/>
          <w:szCs w:val="24"/>
        </w:rPr>
        <w:t xml:space="preserve"> frekansından daha düşük frekanslarda</w:t>
      </w:r>
      <w:r w:rsidR="00D2076F" w:rsidRPr="000E4ED7">
        <w:rPr>
          <w:rFonts w:ascii="Times New Roman" w:hAnsi="Times New Roman" w:cs="Times New Roman"/>
          <w:sz w:val="24"/>
          <w:szCs w:val="24"/>
        </w:rPr>
        <w:t xml:space="preserve"> gerçekleşir</w:t>
      </w:r>
      <w:r w:rsidRPr="000E4ED7">
        <w:rPr>
          <w:rFonts w:ascii="Times New Roman" w:hAnsi="Times New Roman" w:cs="Times New Roman"/>
          <w:sz w:val="24"/>
          <w:szCs w:val="24"/>
        </w:rPr>
        <w:t>,</w:t>
      </w:r>
      <w:r w:rsidR="00D2076F" w:rsidRPr="000E4ED7">
        <w:rPr>
          <w:rFonts w:ascii="Times New Roman" w:hAnsi="Times New Roman" w:cs="Times New Roman"/>
          <w:sz w:val="24"/>
          <w:szCs w:val="24"/>
        </w:rPr>
        <w:t xml:space="preserve"> Kompanzatörün genlik</w:t>
      </w:r>
      <w:r w:rsidRPr="000E4ED7">
        <w:rPr>
          <w:rFonts w:ascii="Times New Roman" w:hAnsi="Times New Roman" w:cs="Times New Roman"/>
          <w:sz w:val="24"/>
          <w:szCs w:val="24"/>
        </w:rPr>
        <w:t xml:space="preserve"> katkı</w:t>
      </w:r>
      <w:r w:rsidR="00D2076F" w:rsidRPr="000E4ED7">
        <w:rPr>
          <w:rFonts w:ascii="Times New Roman" w:hAnsi="Times New Roman" w:cs="Times New Roman"/>
          <w:sz w:val="24"/>
          <w:szCs w:val="24"/>
        </w:rPr>
        <w:t xml:space="preserve">sı, kompanze edilmemiş sistemin kazanç geçiş frekansından daha düşük frekanslarda gerçekleşecektir, </w:t>
      </w:r>
      <w:r w:rsidRPr="000E4ED7">
        <w:rPr>
          <w:rFonts w:ascii="Times New Roman" w:hAnsi="Times New Roman" w:cs="Times New Roman"/>
          <w:sz w:val="24"/>
          <w:szCs w:val="24"/>
        </w:rPr>
        <w:t>kompansatörün bir alt sistem olarak kendisi de kararlı</w:t>
      </w:r>
      <w:r w:rsidR="00D2076F" w:rsidRPr="000E4ED7">
        <w:rPr>
          <w:rFonts w:ascii="Times New Roman" w:hAnsi="Times New Roman" w:cs="Times New Roman"/>
          <w:sz w:val="24"/>
          <w:szCs w:val="24"/>
        </w:rPr>
        <w:t xml:space="preserve"> olmalıdır</w:t>
      </w:r>
      <w:r w:rsidRPr="000E4ED7">
        <w:rPr>
          <w:rFonts w:ascii="Times New Roman" w:hAnsi="Times New Roman" w:cs="Times New Roman"/>
          <w:sz w:val="24"/>
          <w:szCs w:val="24"/>
        </w:rPr>
        <w:t>. Gereklilik (7c) karşılanırsa, (7d)</w:t>
      </w:r>
      <w:r w:rsidR="00D2076F" w:rsidRPr="000E4ED7">
        <w:rPr>
          <w:rFonts w:ascii="Times New Roman" w:hAnsi="Times New Roman" w:cs="Times New Roman"/>
          <w:sz w:val="24"/>
          <w:szCs w:val="24"/>
        </w:rPr>
        <w:t>’de verilen şartın</w:t>
      </w:r>
      <w:r w:rsidRPr="000E4ED7">
        <w:rPr>
          <w:rFonts w:ascii="Times New Roman" w:hAnsi="Times New Roman" w:cs="Times New Roman"/>
          <w:sz w:val="24"/>
          <w:szCs w:val="24"/>
        </w:rPr>
        <w:t xml:space="preserve"> otomatik olarak karşılandığını </w:t>
      </w:r>
      <w:r w:rsidR="00D2076F" w:rsidRPr="000E4ED7">
        <w:rPr>
          <w:rFonts w:ascii="Times New Roman" w:hAnsi="Times New Roman" w:cs="Times New Roman"/>
          <w:sz w:val="24"/>
          <w:szCs w:val="24"/>
        </w:rPr>
        <w:t>hatırlayın</w:t>
      </w:r>
      <w:r w:rsidRPr="000E4ED7">
        <w:rPr>
          <w:rFonts w:ascii="Times New Roman" w:hAnsi="Times New Roman" w:cs="Times New Roman"/>
          <w:sz w:val="24"/>
          <w:szCs w:val="24"/>
        </w:rPr>
        <w:t>.</w:t>
      </w:r>
    </w:p>
    <w:p w14:paraId="1BC2F262" w14:textId="692D162F" w:rsidR="00D2076F" w:rsidRPr="000E4ED7" w:rsidRDefault="00D2076F" w:rsidP="00D2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ED7">
        <w:rPr>
          <w:rFonts w:ascii="Times New Roman" w:hAnsi="Times New Roman" w:cs="Times New Roman"/>
          <w:i/>
          <w:sz w:val="24"/>
          <w:szCs w:val="24"/>
        </w:rPr>
        <w:t>İlerlemeli Kompanzatör Durumunda</w:t>
      </w:r>
    </w:p>
    <w:p w14:paraId="20D96C2D" w14:textId="77777777" w:rsidR="00D2076F" w:rsidRPr="000E4ED7" w:rsidRDefault="00D2076F" w:rsidP="00D207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>Kc kazancı, durgun durum gereksinimini karşılayacak şekilde belirlenmelidir.</w:t>
      </w:r>
    </w:p>
    <w:p w14:paraId="5017B444" w14:textId="4BA0ACE7" w:rsidR="00D2076F" w:rsidRDefault="00D2076F" w:rsidP="00D2076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 xml:space="preserve">İstenilen kazanç geçiş frekansı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g,c</m:t>
            </m:r>
          </m:sub>
        </m:sSub>
      </m:oMath>
      <w:r w:rsidRPr="000E4ED7">
        <w:rPr>
          <w:rFonts w:ascii="Times New Roman" w:hAnsi="Times New Roman" w:cs="Times New Roman"/>
          <w:sz w:val="24"/>
          <w:szCs w:val="24"/>
        </w:rPr>
        <w:t xml:space="preserve"> aşağıdaki şartları sağlayacak şekilde seçilmelidir.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1E0F1F" w:rsidRPr="00F239FB" w14:paraId="7BE693B2" w14:textId="77777777" w:rsidTr="00E15471">
        <w:tc>
          <w:tcPr>
            <w:tcW w:w="7644" w:type="dxa"/>
            <w:vAlign w:val="center"/>
          </w:tcPr>
          <w:p w14:paraId="6AA1AAFF" w14:textId="2D418F5C" w:rsidR="001E0F1F" w:rsidRPr="00F239FB" w:rsidRDefault="001E0F1F" w:rsidP="001E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arg⁡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g,c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g,c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oMath>
          </w:p>
        </w:tc>
        <w:tc>
          <w:tcPr>
            <w:tcW w:w="708" w:type="dxa"/>
            <w:vAlign w:val="center"/>
          </w:tcPr>
          <w:p w14:paraId="5729DBEA" w14:textId="5FD90CE2" w:rsidR="001E0F1F" w:rsidRPr="00F239FB" w:rsidRDefault="001E0F1F" w:rsidP="001E0F1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3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F1F" w14:paraId="5C951AA9" w14:textId="77777777" w:rsidTr="00E15471">
        <w:tc>
          <w:tcPr>
            <w:tcW w:w="7644" w:type="dxa"/>
          </w:tcPr>
          <w:p w14:paraId="57BCFEE3" w14:textId="73D55AF5" w:rsidR="001E0F1F" w:rsidRPr="00F239FB" w:rsidRDefault="001E0F1F" w:rsidP="001E0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g,c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g,u</m:t>
                    </m:r>
                  </m:sub>
                </m:sSub>
              </m:oMath>
            </m:oMathPara>
          </w:p>
        </w:tc>
        <w:tc>
          <w:tcPr>
            <w:tcW w:w="708" w:type="dxa"/>
          </w:tcPr>
          <w:p w14:paraId="088B219C" w14:textId="5D96F65A" w:rsidR="001E0F1F" w:rsidRDefault="001E0F1F" w:rsidP="001E0F1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1E0F1F" w14:paraId="27AA0B18" w14:textId="77777777" w:rsidTr="00E15471">
        <w:tc>
          <w:tcPr>
            <w:tcW w:w="7644" w:type="dxa"/>
          </w:tcPr>
          <w:p w14:paraId="5F2CC00D" w14:textId="5FCA3B5D" w:rsidR="001E0F1F" w:rsidRPr="00F239FB" w:rsidRDefault="001E0F1F" w:rsidP="001E0F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g,c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g,c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708" w:type="dxa"/>
          </w:tcPr>
          <w:p w14:paraId="52D099D3" w14:textId="5628971A" w:rsidR="001E0F1F" w:rsidRDefault="001E0F1F" w:rsidP="001E0F1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1E0F1F" w14:paraId="1459E893" w14:textId="77777777" w:rsidTr="00E15471">
        <w:tc>
          <w:tcPr>
            <w:tcW w:w="7644" w:type="dxa"/>
          </w:tcPr>
          <w:p w14:paraId="41787095" w14:textId="790F8122" w:rsidR="001E0F1F" w:rsidRPr="00F239FB" w:rsidRDefault="001E0F1F" w:rsidP="001E0F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θ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g,c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g,c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  <w:tc>
          <w:tcPr>
            <w:tcW w:w="708" w:type="dxa"/>
          </w:tcPr>
          <w:p w14:paraId="4483EE4D" w14:textId="370B2436" w:rsidR="001E0F1F" w:rsidRDefault="001E0F1F" w:rsidP="001E0F1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</w:tr>
    </w:tbl>
    <w:p w14:paraId="71B34F4C" w14:textId="5356FE41" w:rsidR="00D2076F" w:rsidRPr="000E4ED7" w:rsidRDefault="00D2076F" w:rsidP="001E0F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>(</w:t>
      </w:r>
      <w:r w:rsidR="00A90949" w:rsidRPr="000E4ED7">
        <w:rPr>
          <w:rFonts w:ascii="Times New Roman" w:hAnsi="Times New Roman" w:cs="Times New Roman"/>
          <w:sz w:val="24"/>
          <w:szCs w:val="24"/>
        </w:rPr>
        <w:t>8</w:t>
      </w:r>
      <w:r w:rsidRPr="000E4ED7">
        <w:rPr>
          <w:rFonts w:ascii="Times New Roman" w:hAnsi="Times New Roman" w:cs="Times New Roman"/>
          <w:sz w:val="24"/>
          <w:szCs w:val="24"/>
        </w:rPr>
        <w:t>a) ila (</w:t>
      </w:r>
      <w:r w:rsidR="00A90949" w:rsidRPr="000E4ED7">
        <w:rPr>
          <w:rFonts w:ascii="Times New Roman" w:hAnsi="Times New Roman" w:cs="Times New Roman"/>
          <w:sz w:val="24"/>
          <w:szCs w:val="24"/>
        </w:rPr>
        <w:t>8</w:t>
      </w:r>
      <w:r w:rsidRPr="000E4ED7">
        <w:rPr>
          <w:rFonts w:ascii="Times New Roman" w:hAnsi="Times New Roman" w:cs="Times New Roman"/>
          <w:sz w:val="24"/>
          <w:szCs w:val="24"/>
        </w:rPr>
        <w:t xml:space="preserve">d) arasındaki bu şartlar, kompanzatörün açısal katkısının </w:t>
      </w:r>
      <w:r w:rsidR="00A90949" w:rsidRPr="000E4ED7">
        <w:rPr>
          <w:rFonts w:ascii="Times New Roman" w:hAnsi="Times New Roman" w:cs="Times New Roman"/>
          <w:sz w:val="24"/>
          <w:szCs w:val="24"/>
        </w:rPr>
        <w:t>pozi</w:t>
      </w:r>
      <w:r w:rsidRPr="000E4ED7">
        <w:rPr>
          <w:rFonts w:ascii="Times New Roman" w:hAnsi="Times New Roman" w:cs="Times New Roman"/>
          <w:sz w:val="24"/>
          <w:szCs w:val="24"/>
        </w:rPr>
        <w:t xml:space="preserve">tif olmasını sağlamak içindir, kompanzatörün en yüksek açısal katkısı, kompanze edilmemiş sistemin kazanç geçiş frekansından daha </w:t>
      </w:r>
      <w:r w:rsidR="00A90949" w:rsidRPr="000E4ED7">
        <w:rPr>
          <w:rFonts w:ascii="Times New Roman" w:hAnsi="Times New Roman" w:cs="Times New Roman"/>
          <w:sz w:val="24"/>
          <w:szCs w:val="24"/>
        </w:rPr>
        <w:t>yüksek</w:t>
      </w:r>
      <w:r w:rsidRPr="000E4ED7">
        <w:rPr>
          <w:rFonts w:ascii="Times New Roman" w:hAnsi="Times New Roman" w:cs="Times New Roman"/>
          <w:sz w:val="24"/>
          <w:szCs w:val="24"/>
        </w:rPr>
        <w:t xml:space="preserve"> frekanslarda gerçekleşir, Kompanzatörün genlik katkısı, kompanze edilmemiş sistemin kazanç geçiş frekansından daha </w:t>
      </w:r>
      <w:r w:rsidR="00A90949" w:rsidRPr="000E4ED7">
        <w:rPr>
          <w:rFonts w:ascii="Times New Roman" w:hAnsi="Times New Roman" w:cs="Times New Roman"/>
          <w:sz w:val="24"/>
          <w:szCs w:val="24"/>
        </w:rPr>
        <w:t>yüksek</w:t>
      </w:r>
      <w:r w:rsidRPr="000E4ED7">
        <w:rPr>
          <w:rFonts w:ascii="Times New Roman" w:hAnsi="Times New Roman" w:cs="Times New Roman"/>
          <w:sz w:val="24"/>
          <w:szCs w:val="24"/>
        </w:rPr>
        <w:t xml:space="preserve"> frekanslarda gerçekleşecektir, kompansatörün bir alt sistem olarak kendisi de kararlı olmalıdır. Gereklilik (</w:t>
      </w:r>
      <w:r w:rsidR="00A90949" w:rsidRPr="000E4ED7">
        <w:rPr>
          <w:rFonts w:ascii="Times New Roman" w:hAnsi="Times New Roman" w:cs="Times New Roman"/>
          <w:sz w:val="24"/>
          <w:szCs w:val="24"/>
        </w:rPr>
        <w:t>8d</w:t>
      </w:r>
      <w:r w:rsidRPr="000E4ED7">
        <w:rPr>
          <w:rFonts w:ascii="Times New Roman" w:hAnsi="Times New Roman" w:cs="Times New Roman"/>
          <w:sz w:val="24"/>
          <w:szCs w:val="24"/>
        </w:rPr>
        <w:t>) karşılanırsa, (</w:t>
      </w:r>
      <w:r w:rsidR="00A90949" w:rsidRPr="000E4ED7">
        <w:rPr>
          <w:rFonts w:ascii="Times New Roman" w:hAnsi="Times New Roman" w:cs="Times New Roman"/>
          <w:sz w:val="24"/>
          <w:szCs w:val="24"/>
        </w:rPr>
        <w:t>8c</w:t>
      </w:r>
      <w:r w:rsidRPr="000E4ED7">
        <w:rPr>
          <w:rFonts w:ascii="Times New Roman" w:hAnsi="Times New Roman" w:cs="Times New Roman"/>
          <w:sz w:val="24"/>
          <w:szCs w:val="24"/>
        </w:rPr>
        <w:t>)’de verilen şartın otomatik olarak karşılandığını hatırlayın.</w:t>
      </w:r>
    </w:p>
    <w:p w14:paraId="3E0B7842" w14:textId="481E73CD" w:rsidR="000E2546" w:rsidRPr="000E4ED7" w:rsidRDefault="000E2546" w:rsidP="000E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ED7">
        <w:rPr>
          <w:rFonts w:ascii="Times New Roman" w:hAnsi="Times New Roman" w:cs="Times New Roman"/>
          <w:i/>
          <w:sz w:val="24"/>
          <w:szCs w:val="24"/>
        </w:rPr>
        <w:t>PID Kontrolcü Tasarımında</w:t>
      </w:r>
    </w:p>
    <w:p w14:paraId="59115DFB" w14:textId="5F3A157E" w:rsidR="000E2546" w:rsidRPr="000E4ED7" w:rsidRDefault="000E2546" w:rsidP="000E25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0E4ED7">
        <w:rPr>
          <w:rFonts w:ascii="Times New Roman" w:hAnsi="Times New Roman" w:cs="Times New Roman"/>
          <w:sz w:val="24"/>
          <w:szCs w:val="24"/>
        </w:rPr>
        <w:t xml:space="preserve"> kazancı, durgun durum gereksinimini karşılayacak şekilde belirlenmelidir.</w:t>
      </w:r>
    </w:p>
    <w:p w14:paraId="0A4F5681" w14:textId="23379420" w:rsidR="000E2546" w:rsidRDefault="000E2546" w:rsidP="000E25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 xml:space="preserve">İstenilen kazanç geçiş frekansı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g,c</m:t>
            </m:r>
          </m:sub>
        </m:sSub>
      </m:oMath>
      <w:r w:rsidRPr="000E4ED7">
        <w:rPr>
          <w:rFonts w:ascii="Times New Roman" w:hAnsi="Times New Roman" w:cs="Times New Roman"/>
          <w:sz w:val="24"/>
          <w:szCs w:val="24"/>
        </w:rPr>
        <w:t xml:space="preserve"> aşağıdaki şartları sağlayacak şekilde seçilmelidir.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F2052F" w:rsidRPr="00F239FB" w14:paraId="43B0E528" w14:textId="77777777" w:rsidTr="00E15471">
        <w:tc>
          <w:tcPr>
            <w:tcW w:w="7644" w:type="dxa"/>
            <w:vAlign w:val="center"/>
          </w:tcPr>
          <w:p w14:paraId="6E2C7471" w14:textId="7E7F9A62" w:rsidR="00F2052F" w:rsidRPr="00F239FB" w:rsidRDefault="00F2052F" w:rsidP="00E1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&gt;θ&gt;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708" w:type="dxa"/>
            <w:vAlign w:val="center"/>
          </w:tcPr>
          <w:p w14:paraId="3A7C0AA3" w14:textId="445CC42F" w:rsidR="00F2052F" w:rsidRPr="00F239FB" w:rsidRDefault="00F2052F" w:rsidP="00F205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9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3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052F" w14:paraId="71BE6E67" w14:textId="77777777" w:rsidTr="00E15471">
        <w:tc>
          <w:tcPr>
            <w:tcW w:w="7644" w:type="dxa"/>
          </w:tcPr>
          <w:p w14:paraId="7454167B" w14:textId="454A484D" w:rsidR="00F2052F" w:rsidRPr="00F239FB" w:rsidRDefault="00F2052F" w:rsidP="00E15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g,c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g,c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g,c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sinθ&gt;0 eğer θ&lt;0 ise </m:t>
                </m:r>
              </m:oMath>
            </m:oMathPara>
          </w:p>
        </w:tc>
        <w:tc>
          <w:tcPr>
            <w:tcW w:w="708" w:type="dxa"/>
          </w:tcPr>
          <w:p w14:paraId="58EF5C8D" w14:textId="491C6E14" w:rsidR="00F2052F" w:rsidRDefault="00F2052F" w:rsidP="00F205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</w:tbl>
    <w:p w14:paraId="7DA90A7D" w14:textId="751A939E" w:rsidR="000E2546" w:rsidRPr="000E4ED7" w:rsidRDefault="000E2546" w:rsidP="00F205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 xml:space="preserve">Bu gereklilikler, kontrolcünün açısal katkısının istenen şartları gerçekten sağladığından emin olmak içindir,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Pr="00F2052F">
        <w:rPr>
          <w:rFonts w:ascii="Times New Roman" w:hAnsi="Times New Roman" w:cs="Times New Roman"/>
          <w:sz w:val="24"/>
          <w:szCs w:val="24"/>
        </w:rPr>
        <w:t xml:space="preserve"> için pozitif bir değer elde ediliyor olmalıdır</w:t>
      </w:r>
      <w:r w:rsidRPr="000E4ED7">
        <w:rPr>
          <w:rFonts w:ascii="Times New Roman" w:hAnsi="Times New Roman" w:cs="Times New Roman"/>
          <w:sz w:val="24"/>
          <w:szCs w:val="24"/>
        </w:rPr>
        <w:t>.</w:t>
      </w:r>
    </w:p>
    <w:p w14:paraId="604AE2D0" w14:textId="7B83658F" w:rsidR="000D2633" w:rsidRPr="000E4ED7" w:rsidRDefault="000D2633" w:rsidP="000D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ED7">
        <w:rPr>
          <w:rFonts w:ascii="Times New Roman" w:hAnsi="Times New Roman" w:cs="Times New Roman"/>
          <w:i/>
          <w:sz w:val="24"/>
          <w:szCs w:val="24"/>
        </w:rPr>
        <w:t>PD Kontrolcü Tasarımında</w:t>
      </w:r>
    </w:p>
    <w:p w14:paraId="33EC3103" w14:textId="76D274CF" w:rsidR="000D2633" w:rsidRDefault="000D2633" w:rsidP="000D26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(6b)</m:t>
        </m:r>
      </m:oMath>
      <w:r w:rsidRPr="000E4ED7">
        <w:rPr>
          <w:rFonts w:ascii="Times New Roman" w:eastAsiaTheme="minorEastAsia" w:hAnsi="Times New Roman" w:cs="Times New Roman"/>
          <w:sz w:val="24"/>
          <w:szCs w:val="24"/>
        </w:rPr>
        <w:t xml:space="preserve"> eşitliği aşağıdaki forma indirgenir</w:t>
      </w:r>
      <w:r w:rsidRPr="000E4E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F2052F" w14:paraId="1AD44D24" w14:textId="77777777" w:rsidTr="00E15471">
        <w:tc>
          <w:tcPr>
            <w:tcW w:w="7644" w:type="dxa"/>
            <w:vAlign w:val="center"/>
          </w:tcPr>
          <w:p w14:paraId="00C1E98E" w14:textId="37CE3EBE" w:rsidR="00F2052F" w:rsidRPr="00F2052F" w:rsidRDefault="00F2052F" w:rsidP="00F20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g,c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</m:e>
                    </m:d>
                  </m:den>
                </m:f>
              </m:oMath>
            </m:oMathPara>
          </w:p>
        </w:tc>
        <w:tc>
          <w:tcPr>
            <w:tcW w:w="708" w:type="dxa"/>
            <w:vAlign w:val="center"/>
          </w:tcPr>
          <w:p w14:paraId="2A29A60F" w14:textId="34437A4E" w:rsidR="00F2052F" w:rsidRDefault="00F2052F" w:rsidP="00E15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72105B4" w14:textId="5C503E9A" w:rsidR="000D2633" w:rsidRDefault="000D2633" w:rsidP="000D26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ED7">
        <w:rPr>
          <w:rFonts w:ascii="Times New Roman" w:hAnsi="Times New Roman" w:cs="Times New Roman"/>
          <w:sz w:val="24"/>
          <w:szCs w:val="24"/>
        </w:rPr>
        <w:t xml:space="preserve">Böylece pozitif değerli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E4ED7">
        <w:rPr>
          <w:rFonts w:ascii="Times New Roman" w:hAnsi="Times New Roman" w:cs="Times New Roman"/>
          <w:sz w:val="24"/>
          <w:szCs w:val="24"/>
        </w:rPr>
        <w:t xml:space="preserve">elde etmek için, hedeflenen kazanç geçiş frekansı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g,c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E4ED7">
        <w:rPr>
          <w:rFonts w:ascii="Times New Roman" w:hAnsi="Times New Roman" w:cs="Times New Roman"/>
          <w:sz w:val="24"/>
          <w:szCs w:val="24"/>
        </w:rPr>
        <w:t>aşağıdaki gibi seçilmelidir.</w:t>
      </w:r>
      <w:bookmarkStart w:id="0" w:name="_GoBack"/>
      <w:bookmarkEnd w:id="0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F2052F" w14:paraId="51F905BF" w14:textId="77777777" w:rsidTr="00E15471">
        <w:tc>
          <w:tcPr>
            <w:tcW w:w="7644" w:type="dxa"/>
            <w:vAlign w:val="center"/>
          </w:tcPr>
          <w:p w14:paraId="144F6CEE" w14:textId="06A8E830" w:rsidR="00F2052F" w:rsidRPr="00F239FB" w:rsidRDefault="00F2052F" w:rsidP="00F20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θ&gt;0</m:t>
              </m:r>
            </m:oMath>
            <w:r w:rsidRPr="00F2052F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arg⁡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g,c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g,c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oMath>
          </w:p>
        </w:tc>
        <w:tc>
          <w:tcPr>
            <w:tcW w:w="708" w:type="dxa"/>
            <w:vAlign w:val="center"/>
          </w:tcPr>
          <w:p w14:paraId="4612955E" w14:textId="18E02187" w:rsidR="00F2052F" w:rsidRDefault="00F2052F" w:rsidP="00E15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55F90A9" w14:textId="2E1704B7" w:rsidR="000D2633" w:rsidRPr="000E4ED7" w:rsidRDefault="000D2633" w:rsidP="000D2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ED7">
        <w:rPr>
          <w:rFonts w:ascii="Times New Roman" w:hAnsi="Times New Roman" w:cs="Times New Roman"/>
          <w:i/>
          <w:sz w:val="24"/>
          <w:szCs w:val="24"/>
        </w:rPr>
        <w:t>PI Kontrolcü Tasarımında</w:t>
      </w:r>
    </w:p>
    <w:p w14:paraId="4E3D82A1" w14:textId="5C3E89A7" w:rsidR="000D2633" w:rsidRDefault="000D2633" w:rsidP="000D26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(6b)</m:t>
        </m:r>
      </m:oMath>
      <w:r w:rsidRPr="000E4ED7">
        <w:rPr>
          <w:rFonts w:ascii="Times New Roman" w:eastAsiaTheme="minorEastAsia" w:hAnsi="Times New Roman" w:cs="Times New Roman"/>
          <w:sz w:val="24"/>
          <w:szCs w:val="24"/>
        </w:rPr>
        <w:t xml:space="preserve"> eşitliği aşağıdaki forma indirgenir</w:t>
      </w:r>
      <w:r w:rsidRPr="000E4E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F2052F" w14:paraId="0E21AB21" w14:textId="77777777" w:rsidTr="00E15471">
        <w:tc>
          <w:tcPr>
            <w:tcW w:w="7644" w:type="dxa"/>
            <w:vAlign w:val="center"/>
          </w:tcPr>
          <w:p w14:paraId="041C258B" w14:textId="68EA29A2" w:rsidR="00F2052F" w:rsidRPr="00F239FB" w:rsidRDefault="00F2052F" w:rsidP="00F20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g,c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g,c</m:t>
                                </m:r>
                              </m:sub>
                            </m:sSub>
                          </m:e>
                        </m:d>
                      </m:e>
                    </m:d>
                  </m:den>
                </m:f>
              </m:oMath>
            </m:oMathPara>
          </w:p>
        </w:tc>
        <w:tc>
          <w:tcPr>
            <w:tcW w:w="708" w:type="dxa"/>
            <w:vAlign w:val="center"/>
          </w:tcPr>
          <w:p w14:paraId="46D901AA" w14:textId="7A4C2682" w:rsidR="00F2052F" w:rsidRDefault="00F2052F" w:rsidP="00E15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922F51C" w14:textId="7F2BCBE8" w:rsidR="000D2633" w:rsidRPr="00F2052F" w:rsidRDefault="000D2633" w:rsidP="00F205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052F">
        <w:rPr>
          <w:rFonts w:ascii="Times New Roman" w:eastAsiaTheme="minorEastAsia" w:hAnsi="Times New Roman" w:cs="Times New Roman"/>
          <w:sz w:val="24"/>
          <w:szCs w:val="24"/>
        </w:rPr>
        <w:t xml:space="preserve">Böylece pozitif değerli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F2052F">
        <w:rPr>
          <w:rFonts w:ascii="Times New Roman" w:eastAsiaTheme="minorEastAsia" w:hAnsi="Times New Roman" w:cs="Times New Roman"/>
          <w:sz w:val="24"/>
          <w:szCs w:val="24"/>
        </w:rPr>
        <w:t xml:space="preserve">elde etmek için, hedeflenen kazanç geçiş frekansı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F2052F">
        <w:rPr>
          <w:rFonts w:ascii="Times New Roman" w:eastAsiaTheme="minorEastAsia" w:hAnsi="Times New Roman" w:cs="Times New Roman"/>
          <w:sz w:val="24"/>
          <w:szCs w:val="24"/>
        </w:rPr>
        <w:t>aşağıdaki gibi seçilmelidir.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708"/>
      </w:tblGrid>
      <w:tr w:rsidR="00F2052F" w14:paraId="6FCD5BB1" w14:textId="77777777" w:rsidTr="00E15471">
        <w:tc>
          <w:tcPr>
            <w:tcW w:w="7644" w:type="dxa"/>
            <w:vAlign w:val="center"/>
          </w:tcPr>
          <w:p w14:paraId="13B46931" w14:textId="637AE395" w:rsidR="00F2052F" w:rsidRPr="00F239FB" w:rsidRDefault="00F2052F" w:rsidP="00E15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θ&lt;0</m:t>
              </m:r>
            </m:oMath>
            <w:r w:rsidRPr="000E4ED7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arg⁡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g,c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g,c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ϕ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oMath>
          </w:p>
        </w:tc>
        <w:tc>
          <w:tcPr>
            <w:tcW w:w="708" w:type="dxa"/>
            <w:vAlign w:val="center"/>
          </w:tcPr>
          <w:p w14:paraId="0B34487B" w14:textId="7C79A736" w:rsidR="00F2052F" w:rsidRDefault="00F2052F" w:rsidP="00E154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824056A" w14:textId="5CD79AA0" w:rsidR="001E0F1F" w:rsidRPr="000E4ED7" w:rsidRDefault="001E0F1F" w:rsidP="001E0F1F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E0F1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E4ED7">
        <w:rPr>
          <w:rFonts w:ascii="Times New Roman" w:hAnsi="Times New Roman" w:cs="Times New Roman"/>
          <w:bCs/>
          <w:sz w:val="16"/>
          <w:szCs w:val="16"/>
        </w:rPr>
        <w:t>Kaynaklar:</w:t>
      </w:r>
    </w:p>
    <w:p w14:paraId="58F076A4" w14:textId="77777777" w:rsidR="001E0F1F" w:rsidRPr="000E4ED7" w:rsidRDefault="001E0F1F" w:rsidP="001E0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16"/>
          <w:szCs w:val="16"/>
        </w:rPr>
      </w:pPr>
      <w:hyperlink r:id="rId5" w:history="1">
        <w:r w:rsidRPr="000E4ED7">
          <w:rPr>
            <w:rStyle w:val="Hyperlink"/>
            <w:rFonts w:ascii="Times New Roman" w:hAnsi="Times New Roman" w:cs="Times New Roman"/>
            <w:sz w:val="16"/>
            <w:szCs w:val="16"/>
          </w:rPr>
          <w:t>http://courses.me.metu.edu.tr/courses/me442/AnalyticalLeadLagPID(FR).pdf</w:t>
        </w:r>
      </w:hyperlink>
    </w:p>
    <w:p w14:paraId="1C046831" w14:textId="77777777" w:rsidR="001E0F1F" w:rsidRPr="000E4ED7" w:rsidRDefault="001E0F1F" w:rsidP="001E0F1F">
      <w:pPr>
        <w:pStyle w:val="ListParagraph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  <w:r w:rsidRPr="000E4ED7">
        <w:rPr>
          <w:rFonts w:ascii="Times New Roman" w:hAnsi="Times New Roman" w:cs="Times New Roman"/>
          <w:i/>
          <w:sz w:val="16"/>
          <w:szCs w:val="16"/>
          <w:u w:val="single"/>
        </w:rPr>
        <w:t>Orijinal kaynaklar</w:t>
      </w:r>
    </w:p>
    <w:p w14:paraId="701DE7E1" w14:textId="77777777" w:rsidR="001E0F1F" w:rsidRPr="000E4ED7" w:rsidRDefault="001E0F1F" w:rsidP="001E0F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ED7">
        <w:rPr>
          <w:rFonts w:ascii="Times New Roman" w:hAnsi="Times New Roman" w:cs="Times New Roman"/>
          <w:sz w:val="16"/>
          <w:szCs w:val="16"/>
        </w:rPr>
        <w:t>W. R. Wakeland, “Bode Compensator Design”, IEEE Trans. on Autom. Control,Vol. AC-21, October 1976, p. 771.</w:t>
      </w:r>
    </w:p>
    <w:p w14:paraId="465598E6" w14:textId="77777777" w:rsidR="001E0F1F" w:rsidRPr="000E4ED7" w:rsidRDefault="001E0F1F" w:rsidP="001E0F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4ED7">
        <w:rPr>
          <w:rFonts w:ascii="Times New Roman" w:hAnsi="Times New Roman" w:cs="Times New Roman"/>
          <w:sz w:val="16"/>
          <w:szCs w:val="16"/>
        </w:rPr>
        <w:t xml:space="preserve"> J. R. Mitchell, “Comments on Bode Compensator Design”, IEEE Trans. On Autom. Control, Vol. AC-22, October 1977, p. 869.</w:t>
      </w:r>
    </w:p>
    <w:sectPr w:rsidR="001E0F1F" w:rsidRPr="000E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548"/>
    <w:multiLevelType w:val="hybridMultilevel"/>
    <w:tmpl w:val="89B8D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372F"/>
    <w:multiLevelType w:val="hybridMultilevel"/>
    <w:tmpl w:val="30AA4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74178"/>
    <w:multiLevelType w:val="hybridMultilevel"/>
    <w:tmpl w:val="9350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66F9"/>
    <w:multiLevelType w:val="hybridMultilevel"/>
    <w:tmpl w:val="5C5C8F3C"/>
    <w:lvl w:ilvl="0" w:tplc="F3BABC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33DCF"/>
    <w:multiLevelType w:val="hybridMultilevel"/>
    <w:tmpl w:val="30AA4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9"/>
    <w:rsid w:val="000D2633"/>
    <w:rsid w:val="000E2546"/>
    <w:rsid w:val="000E4ED7"/>
    <w:rsid w:val="001E0F1F"/>
    <w:rsid w:val="00234919"/>
    <w:rsid w:val="004070C5"/>
    <w:rsid w:val="004F55B5"/>
    <w:rsid w:val="00967918"/>
    <w:rsid w:val="00A704B9"/>
    <w:rsid w:val="00A90949"/>
    <w:rsid w:val="00D17619"/>
    <w:rsid w:val="00D2076F"/>
    <w:rsid w:val="00D5097F"/>
    <w:rsid w:val="00EB610A"/>
    <w:rsid w:val="00F2052F"/>
    <w:rsid w:val="00F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A47F"/>
  <w15:chartTrackingRefBased/>
  <w15:docId w15:val="{6BABA89C-DA41-4D58-A3F9-D412B0A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49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67918"/>
    <w:rPr>
      <w:color w:val="808080"/>
    </w:rPr>
  </w:style>
  <w:style w:type="table" w:styleId="TableGrid">
    <w:name w:val="Table Grid"/>
    <w:basedOn w:val="TableNormal"/>
    <w:uiPriority w:val="39"/>
    <w:rsid w:val="000E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rses.me.metu.edu.tr/courses/me442/AnalyticalLeadLagPID(FR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7</cp:revision>
  <dcterms:created xsi:type="dcterms:W3CDTF">2019-04-28T06:35:00Z</dcterms:created>
  <dcterms:modified xsi:type="dcterms:W3CDTF">2019-04-28T08:29:00Z</dcterms:modified>
</cp:coreProperties>
</file>